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97" w:rsidRDefault="00AE1597" w:rsidP="00AE1597">
      <w:pPr>
        <w:pStyle w:val="a3"/>
        <w:jc w:val="right"/>
        <w:rPr>
          <w:noProof/>
          <w:lang w:val="bg-BG"/>
        </w:rPr>
      </w:pPr>
      <w:bookmarkStart w:id="0" w:name="_GoBack"/>
      <w:bookmarkEnd w:id="0"/>
      <w:r>
        <w:rPr>
          <w:noProof/>
          <w:lang w:val="bg-BG" w:eastAsia="bg-BG"/>
        </w:rPr>
        <w:drawing>
          <wp:inline distT="0" distB="0" distL="0" distR="0">
            <wp:extent cx="5762625" cy="771525"/>
            <wp:effectExtent l="0" t="0" r="9525" b="952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97" w:rsidRDefault="00AE1597" w:rsidP="00AE1597">
      <w:pPr>
        <w:pStyle w:val="a3"/>
        <w:jc w:val="right"/>
        <w:rPr>
          <w:noProof/>
          <w:lang w:val="bg-BG"/>
        </w:rPr>
      </w:pPr>
    </w:p>
    <w:p w:rsidR="00AE1597" w:rsidRDefault="00AE1597" w:rsidP="00AE1597">
      <w:pPr>
        <w:pStyle w:val="a3"/>
        <w:jc w:val="right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ПРОЕКТ!</w:t>
      </w:r>
    </w:p>
    <w:p w:rsidR="00AE1597" w:rsidRDefault="00AE1597" w:rsidP="00AE1597">
      <w:pPr>
        <w:pStyle w:val="a3"/>
        <w:jc w:val="center"/>
        <w:rPr>
          <w:rFonts w:ascii="Times New Roman" w:hAnsi="Times New Roman"/>
          <w:b/>
          <w:sz w:val="40"/>
          <w:szCs w:val="40"/>
          <w:lang w:val="bg-BG"/>
        </w:rPr>
      </w:pPr>
    </w:p>
    <w:p w:rsidR="00AE1597" w:rsidRDefault="00AE1597" w:rsidP="00AE1597">
      <w:pPr>
        <w:pStyle w:val="a3"/>
        <w:jc w:val="center"/>
        <w:rPr>
          <w:rFonts w:ascii="Times New Roman" w:hAnsi="Times New Roman"/>
          <w:b/>
          <w:sz w:val="40"/>
          <w:szCs w:val="40"/>
          <w:lang w:val="bg-BG"/>
        </w:rPr>
      </w:pPr>
      <w:r>
        <w:rPr>
          <w:rFonts w:ascii="Times New Roman" w:hAnsi="Times New Roman"/>
          <w:b/>
          <w:sz w:val="40"/>
          <w:szCs w:val="40"/>
          <w:lang w:val="bg-BG"/>
        </w:rPr>
        <w:t>ЗАПОВЕД</w:t>
      </w:r>
    </w:p>
    <w:p w:rsidR="00AE1597" w:rsidRDefault="00AE1597" w:rsidP="00AE15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E1597" w:rsidRDefault="004A2776" w:rsidP="00AE15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5" o:title=""/>
            <o:lock v:ext="edit" ungrouping="t" rotation="t" cropping="t" verticies="t" grouping="t"/>
            <o:signatureline v:ext="edit" id="{7DEB57A4-48AC-4981-9FF9-2FDFED800FBF}" provid="{00000000-0000-0000-0000-000000000000}" issignatureline="t"/>
          </v:shape>
        </w:pict>
      </w:r>
    </w:p>
    <w:p w:rsidR="00AE1597" w:rsidRPr="00AE1597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E1597">
        <w:rPr>
          <w:rFonts w:ascii="Times New Roman" w:hAnsi="Times New Roman"/>
          <w:sz w:val="24"/>
          <w:szCs w:val="24"/>
          <w:lang w:val="bg-BG"/>
        </w:rPr>
        <w:t>На основание чл. 44, ал. 2 от Закона за местното самоуправление и местната администрация и в изпълнение на чл. 63, ал. 2 от Закона за местните данъци и такси и чл. 15 във връзка с чл. 20, ал. 1, т. 2 от Наредба № 7 за определянето и администрирането на местните такси и цени на услуги на територията на община Троян</w:t>
      </w:r>
    </w:p>
    <w:p w:rsidR="00AE1597" w:rsidRPr="00AE1597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AE1597" w:rsidRDefault="00AE1597" w:rsidP="00AE1597">
      <w:pPr>
        <w:pStyle w:val="a3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AE1597">
        <w:rPr>
          <w:rFonts w:ascii="Times New Roman" w:hAnsi="Times New Roman"/>
          <w:b/>
          <w:sz w:val="24"/>
          <w:szCs w:val="24"/>
          <w:lang w:val="bg-BG"/>
        </w:rPr>
        <w:t>ОПРЕДЕЛЯМ:</w:t>
      </w:r>
    </w:p>
    <w:p w:rsidR="00AE1597" w:rsidRPr="00AE1597" w:rsidRDefault="00AE1597" w:rsidP="00AE1597">
      <w:pPr>
        <w:pStyle w:val="a3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E1597">
        <w:rPr>
          <w:rFonts w:ascii="Times New Roman" w:hAnsi="Times New Roman"/>
          <w:b/>
          <w:sz w:val="24"/>
          <w:szCs w:val="24"/>
          <w:lang w:val="bg-BG"/>
        </w:rPr>
        <w:t xml:space="preserve">I. </w:t>
      </w:r>
      <w:r w:rsidRPr="00AE1597">
        <w:rPr>
          <w:rFonts w:ascii="Times New Roman" w:hAnsi="Times New Roman"/>
          <w:sz w:val="24"/>
          <w:szCs w:val="24"/>
          <w:lang w:val="bg-BG"/>
        </w:rPr>
        <w:t xml:space="preserve">В границите на урбанизираните територии на населените места с транспортен достъп на територията на община Троян да се извършват всички услуги по чл. 62 от </w:t>
      </w:r>
      <w:r w:rsidRPr="00C854F9">
        <w:rPr>
          <w:rFonts w:ascii="Times New Roman" w:hAnsi="Times New Roman"/>
          <w:sz w:val="24"/>
          <w:szCs w:val="24"/>
          <w:lang w:val="bg-BG"/>
        </w:rPr>
        <w:t>Закона за местните данъци и такси – събиране и извозване на битовите отпадъци, третиране на битовите отпадъци в инсталация за предварително третиране преди депонирането им и компостиране на биоразградими градински отпадъци, обезвреждане на битови отпадъци в депо и поддържане чистотата на териториите за обществено ползване.</w:t>
      </w: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>II.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За имотите, попадащи в границите на следните райони на населените места на община Троян през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202</w:t>
      </w:r>
      <w:r w:rsidR="00F3257A">
        <w:rPr>
          <w:rFonts w:ascii="Times New Roman" w:hAnsi="Times New Roman"/>
          <w:b/>
          <w:sz w:val="24"/>
          <w:szCs w:val="24"/>
          <w:lang w:val="bg-BG"/>
        </w:rPr>
        <w:t>7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да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не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се извършва услугата “събиране и извозване на битови отпадъци”: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1.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град Троян – 73198: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мах. “Кратунковци”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01002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“Шамовска”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70113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“Гергевци”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00998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“Самичковци”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01198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“Хитровска”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40021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“Рибна”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01025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ул. “Димовска”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40097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2.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Балабанско – 02302: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мах. “Мутевска”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37424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3.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Балканец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02448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“Жална”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00103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“Караниколите”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00093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4.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Бели Осъм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03486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“Бошняшка”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00028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“Гунешка”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00045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“Доновска”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15727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“Калчевска”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00117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“Пъдешка”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00148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“Серешка”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00182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“Ралинска”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00151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ул. “Козя стена”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00240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5.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Белиш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03558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“Минковска”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00028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6.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Врабево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12108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“Маргатина”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00415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7.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Голяма Желязна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15703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:ул. “Август 1926”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00103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всички имоти от № 36 четни и нечетни; ул. “Желязвенска комуна”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00031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четни №№ от 28 до 44 включително и нечетни №№ 19 до 21 включително; мах. “Испирско”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00151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“Лъките”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00179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всички имоти след № 7; мах. “Топля”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56174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четни от №№ 12,18,48,52 и 60 нечетни №№ 45,51,55,63 и 65; мах. “Чакалско”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68357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“Чербин”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68446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четни от № 22 до № 38 включително и нечетни от № 31 до № 41 включително; мах. “Сойчанско”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00309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“Разсадищата”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49088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“Башов рът”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68669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№ 20 и от № 52 до №124.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8.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Гумощник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18109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ул. “Клиновци”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00014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9.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Калейца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35290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ул. “Терзийска”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56318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нечетни от № 9 до № 21включително.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lastRenderedPageBreak/>
        <w:t xml:space="preserve">10.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Орешак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53707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“Радоевското” (мах. “Хасъмското”)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00182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“Коевски ливади” (мах. “Коевци” и “Ливадките”)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30990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11.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Патрешко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55587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“Златешка”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22424</w:t>
      </w:r>
      <w:r w:rsidRPr="00C854F9">
        <w:rPr>
          <w:rFonts w:ascii="Times New Roman" w:hAnsi="Times New Roman"/>
          <w:sz w:val="24"/>
          <w:szCs w:val="24"/>
          <w:lang w:val="bg-BG"/>
        </w:rPr>
        <w:t>; мах. “Мачковска”.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12.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Терзийско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72309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ул. “Христо Ботев”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62685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от нечетни №№ 27 до 43 включително и от четни №№ 44 до 52 включително; ул. “Цвятко Цветковски”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66500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ул. “Иван Дочковски”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00237</w:t>
      </w:r>
      <w:r w:rsidRPr="00C854F9">
        <w:rPr>
          <w:rFonts w:ascii="Times New Roman" w:hAnsi="Times New Roman"/>
          <w:sz w:val="24"/>
          <w:szCs w:val="24"/>
          <w:lang w:val="bg-BG"/>
        </w:rPr>
        <w:t>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13.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Черни Осъм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80981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“Иваншница”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00031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“Глушка”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00103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“Бъзево”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00117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“Лешко присое”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00093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“Усойна”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58671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“Кошутина”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00062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мах. “Тумбевото” и мах. “Нешковци”; мах. “Горначево” -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00031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; имоти в мах. “Стойновско”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00045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с административни адреси № 12А и №№ от 50А четни и нечетни.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14. В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село Чифлик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81476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: мах. “Троанска” –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56798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15. Всички незастроени имоти в урбанизираните територии на всички населени места в община Троян, с изключение на тези, за които е подадена декларация по чл. 19 от Наредба № 7 за определянето и администрирането на местните такси и цени на услуги на територията на община Троян.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16. Всички поземлени имоти и сгради извън строителните граници на урбанизираните територии и извън строителните граници на махалите на всички населени места на територията на община Троян, включително земите раздадени по параграф 4 от Закона за собствеността и ползването на земеделските земи, с изключение на тези с осигурен транспортен достъп, за които е подадена декларация по чл. 19 от Наредба № 7 за определянето и администрирането на местните такси и цени на услуги на територията на община Троян.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>III.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Честота на събиране и извозване на битови отпадъци за 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>202</w:t>
      </w:r>
      <w:r w:rsidR="00F3257A">
        <w:rPr>
          <w:rFonts w:ascii="Times New Roman" w:hAnsi="Times New Roman"/>
          <w:b/>
          <w:sz w:val="24"/>
          <w:szCs w:val="24"/>
          <w:lang w:val="bg-BG"/>
        </w:rPr>
        <w:t>7</w:t>
      </w:r>
      <w:r w:rsidRPr="00C854F9">
        <w:rPr>
          <w:rFonts w:ascii="Times New Roman" w:hAnsi="Times New Roman"/>
          <w:sz w:val="24"/>
          <w:szCs w:val="24"/>
          <w:lang w:val="bg-BG"/>
        </w:rPr>
        <w:t xml:space="preserve"> година, както следва: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1.В град Троян:</w:t>
      </w:r>
    </w:p>
    <w:p w:rsidR="00AE1597" w:rsidRPr="00C854F9" w:rsidRDefault="000771F5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1.1. П</w:t>
      </w:r>
      <w:r w:rsidR="00AE1597" w:rsidRPr="00C854F9">
        <w:rPr>
          <w:rFonts w:ascii="Times New Roman" w:hAnsi="Times New Roman"/>
          <w:sz w:val="24"/>
          <w:szCs w:val="24"/>
          <w:lang w:val="bg-BG"/>
        </w:rPr>
        <w:t>ластмасова кофа 120 л. и 240 л. – за първа зона – през ден, за втора и трета зона – два пъти седмично, за четвърта зона – един път седмично;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 xml:space="preserve">1.2. Съд контейнер тип “Бобър”, тип “Ракла” 1100 л. – за първа зона – през ден, за втора зона – три пъти седмично, за трета зона – два пъти седмично  и за четвърта зона – един път седмично; 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Съд контейнер тип “Бобър” за разделно събиране на отпадъци – един път седмично.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1.3. Съд контейнер тип “КТО - 4 куб.м. ” – един път седмично;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1.4. Кошчета за улични отпадъци 85 л. в град Троян – два пъти дневно;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1.5. Съдове за разделно събиране на биоразградими отпадъци (треви и листа) – пролет, лято и есен – два пъти седмично; съдове за пепел – през отоплителния сезон – един път седмично.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2. В селата на територията на община Троян: с. Балабанско, с. Балканец, с. Бели Осъм, с. Белиш, с. Борима, с. Врабево, с. Голяма Желязна, с. Горно Трапе, с. Гумощник, с. Дебнево, с. Добродан, с. Дълбок дол, с. Калейца, с. Ломец, с. Орешак – вилна зона, с. Патрешко, с. Старо село, с. Терзийско, с. Черни Осъм, с. Чифлик, с. Шипково – за всички видове съдове – два пъти месечно, по заявка на Кмета или Кметския наместник на населеното място.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3. В село Орешак за всички видове съдове – един път седмично, по заявка на Кмета на населеното място.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4. В село Чифлик – вилна зона за всички видове съдове – два пъти седмично.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 xml:space="preserve">IV. </w:t>
      </w:r>
      <w:r w:rsidRPr="00C854F9">
        <w:rPr>
          <w:rFonts w:ascii="Times New Roman" w:hAnsi="Times New Roman"/>
          <w:sz w:val="24"/>
          <w:szCs w:val="24"/>
          <w:lang w:val="bg-BG"/>
        </w:rPr>
        <w:t>Поддържане чистотата на териториите за обществено ползване: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1. Ръчно и машинно почистване на улици, паркови алеи и площади и други обществени места в града – ежедневно.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2. Ръчно събиране на отпадъци от озеленените общински площи – за град Троян ежедневно.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3. Миене на улици, площади и паркови алеи в периода от 01 април до 30 септември включително, както следва: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lastRenderedPageBreak/>
        <w:t>3.1. Централен площад – 1 път годишно;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3.2. Улица “Генерал Карцов”, ул. “Васил Левски”, ул. “Христо Ботев” – 1 пъти годишно;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3.3. Всички останали улици в града от първа и втора зона и трета зона – 1 път годишно;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 xml:space="preserve">V. </w:t>
      </w:r>
      <w:r w:rsidRPr="00C854F9">
        <w:rPr>
          <w:rFonts w:ascii="Times New Roman" w:hAnsi="Times New Roman"/>
          <w:sz w:val="24"/>
          <w:szCs w:val="24"/>
          <w:lang w:val="bg-BG"/>
        </w:rPr>
        <w:t>Предварително третиране на битови отпадъци преди депониране от всички населени места в община Троян се извършва в “Инсталация за предварително третиране на битови отпадъци” и компостиране на биоразградими градински отпадъци се извършва в “Инсталация за компостиране” с оператор “Хемус ресурс – Троян и Априлци” ООД.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 xml:space="preserve">VI. </w:t>
      </w:r>
      <w:r w:rsidRPr="00C854F9">
        <w:rPr>
          <w:rFonts w:ascii="Times New Roman" w:hAnsi="Times New Roman"/>
          <w:sz w:val="24"/>
          <w:szCs w:val="24"/>
          <w:lang w:val="bg-BG"/>
        </w:rPr>
        <w:t>Обезвреждане на битовите отпадъци.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От всички населени места в община Троян се ползва “Регионално депо за неопасни отпадъци Троян – Априлци”.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>Настоящата Заповед влиза в сила от 01.01.202</w:t>
      </w:r>
      <w:r w:rsidR="00F3257A">
        <w:rPr>
          <w:rFonts w:ascii="Times New Roman" w:hAnsi="Times New Roman"/>
          <w:b/>
          <w:sz w:val="24"/>
          <w:szCs w:val="24"/>
          <w:lang w:val="bg-BG"/>
        </w:rPr>
        <w:t>7</w:t>
      </w:r>
      <w:r w:rsidRPr="00C854F9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Препис от настоящата ми Заповед да се предостави на отдел “Местни приходи”, общинско предприятие “Комунални услуги – Троян”, общинско дружество “Хемус ресурс -  Троян и Априлци” ООД, на кметовете и кметски наместници на съответните населени места за сведение и изпълнение.</w:t>
      </w:r>
    </w:p>
    <w:p w:rsidR="00AE1597" w:rsidRPr="00C854F9" w:rsidRDefault="00AE1597" w:rsidP="00AE15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C854F9">
        <w:rPr>
          <w:rFonts w:ascii="Times New Roman" w:hAnsi="Times New Roman"/>
          <w:sz w:val="24"/>
          <w:szCs w:val="24"/>
          <w:lang w:val="bg-BG"/>
        </w:rPr>
        <w:t>Контрол по изпълнение на настоящата Заповед възлагам на ресорните заместник-кметове на община Троян.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54F9">
        <w:rPr>
          <w:rFonts w:ascii="Times New Roman" w:hAnsi="Times New Roman"/>
          <w:b/>
          <w:sz w:val="24"/>
          <w:szCs w:val="24"/>
          <w:lang w:val="bg-BG"/>
        </w:rPr>
        <w:t>Заповедта да се оповести публично!</w:t>
      </w: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E1597" w:rsidRPr="00C854F9" w:rsidRDefault="00AE1597" w:rsidP="00AE1597">
      <w:pPr>
        <w:pStyle w:val="a3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A2A2C" w:rsidRPr="00C854F9" w:rsidRDefault="007A2A2C"/>
    <w:sectPr w:rsidR="007A2A2C" w:rsidRPr="00C854F9" w:rsidSect="00AE159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97"/>
    <w:rsid w:val="000771F5"/>
    <w:rsid w:val="002E25AC"/>
    <w:rsid w:val="003F581B"/>
    <w:rsid w:val="00485649"/>
    <w:rsid w:val="004A2776"/>
    <w:rsid w:val="007A2A2C"/>
    <w:rsid w:val="00985450"/>
    <w:rsid w:val="00AE1597"/>
    <w:rsid w:val="00C854F9"/>
    <w:rsid w:val="00DB45D0"/>
    <w:rsid w:val="00F3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8C0F51-7EA6-4CC3-B42D-BDB03FD7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59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S. Nedyalkova</dc:creator>
  <cp:keywords/>
  <dc:description/>
  <cp:lastModifiedBy>Zornitsa S. Marinova-Bancheva</cp:lastModifiedBy>
  <cp:revision>2</cp:revision>
  <dcterms:created xsi:type="dcterms:W3CDTF">2026-09-01T12:08:00Z</dcterms:created>
  <dcterms:modified xsi:type="dcterms:W3CDTF">2026-09-01T12:08:00Z</dcterms:modified>
</cp:coreProperties>
</file>